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44"/>
          <w:szCs w:val="44"/>
          <w:lang w:eastAsia="zh-CN"/>
        </w:rPr>
      </w:pPr>
      <w:r>
        <w:rPr>
          <w:rFonts w:hint="eastAsia" w:ascii="黑体" w:hAnsi="黑体" w:eastAsia="黑体"/>
          <w:sz w:val="44"/>
          <w:szCs w:val="44"/>
        </w:rPr>
        <w:t>青阳县文化和旅游局行政</w:t>
      </w:r>
      <w:r>
        <w:rPr>
          <w:rFonts w:hint="eastAsia" w:ascii="黑体" w:hAnsi="黑体" w:eastAsia="黑体"/>
          <w:sz w:val="44"/>
          <w:szCs w:val="44"/>
          <w:lang w:eastAsia="zh-CN"/>
        </w:rPr>
        <w:t>强制清单</w:t>
      </w:r>
    </w:p>
    <w:tbl>
      <w:tblPr>
        <w:tblStyle w:val="2"/>
        <w:tblW w:w="1020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661"/>
        <w:gridCol w:w="7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7" w:hRule="atLeast"/>
          <w:tblHeader/>
          <w:jc w:val="center"/>
        </w:trPr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序号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类别</w:t>
            </w:r>
          </w:p>
        </w:tc>
        <w:tc>
          <w:tcPr>
            <w:tcW w:w="755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项目名称及数量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7" w:hRule="atLeast"/>
          <w:jc w:val="center"/>
        </w:trPr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166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行政强制</w:t>
            </w:r>
          </w:p>
        </w:tc>
        <w:tc>
          <w:tcPr>
            <w:tcW w:w="755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共1项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行政强制</w:t>
            </w:r>
          </w:p>
        </w:tc>
        <w:tc>
          <w:tcPr>
            <w:tcW w:w="7552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查封或者扣押涉嫌违法从事出版活动的有关物品和经营场所</w:t>
            </w:r>
          </w:p>
        </w:tc>
      </w:tr>
    </w:tbl>
    <w:p>
      <w:pPr>
        <w:jc w:val="center"/>
        <w:rPr>
          <w:rFonts w:hint="eastAsia" w:ascii="黑体" w:hAnsi="黑体" w:eastAsia="黑体"/>
          <w:sz w:val="44"/>
          <w:szCs w:val="4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AC04BA"/>
    <w:rsid w:val="6DAC0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2019-06-19T00:03:00Z</dcterms:created>
  <dc:creator>青阳县文广新局</dc:creator>
  <cp:lastModifiedBy>青阳县文广新局</cp:lastModifiedBy>
  <dcterms:modified xsi:type="dcterms:W3CDTF">2019-06-19T00:04:38Z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